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1B0" w:rsidRDefault="00D871B0" w:rsidP="00D871B0">
      <w:pPr>
        <w:pStyle w:val="a3"/>
        <w:shd w:val="clear" w:color="auto" w:fill="FFFFFF"/>
        <w:spacing w:before="0" w:beforeAutospacing="0" w:after="0" w:afterAutospacing="0"/>
        <w:ind w:left="435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noProof/>
          <w:color w:val="000000" w:themeColor="text1"/>
          <w:sz w:val="28"/>
          <w:szCs w:val="28"/>
        </w:rPr>
        <w:drawing>
          <wp:inline distT="0" distB="0" distL="0" distR="0">
            <wp:extent cx="5947207" cy="8176437"/>
            <wp:effectExtent l="19050" t="0" r="0" b="0"/>
            <wp:docPr id="1" name="Рисунок 1" descr="C:\Users\111\Desktop\ЛОКАЛЬНЫЕ  АКТЫ ,ПОЛОЖЕНИЯ\Положение о пров. промеж. аттест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11\Desktop\ЛОКАЛЬНЫЕ  АКТЫ ,ПОЛОЖЕНИЯ\Положение о пров. промеж. аттест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7841" cy="81773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1B0" w:rsidRDefault="00D871B0" w:rsidP="00D871B0">
      <w:pPr>
        <w:pStyle w:val="a3"/>
        <w:shd w:val="clear" w:color="auto" w:fill="FFFFFF"/>
        <w:spacing w:before="0" w:beforeAutospacing="0" w:after="0" w:afterAutospacing="0"/>
        <w:ind w:left="435"/>
        <w:rPr>
          <w:b/>
          <w:bCs/>
          <w:color w:val="000000" w:themeColor="text1"/>
          <w:sz w:val="28"/>
          <w:szCs w:val="28"/>
        </w:rPr>
      </w:pPr>
    </w:p>
    <w:p w:rsidR="00D871B0" w:rsidRDefault="00D871B0" w:rsidP="00D871B0">
      <w:pPr>
        <w:pStyle w:val="a3"/>
        <w:shd w:val="clear" w:color="auto" w:fill="FFFFFF"/>
        <w:spacing w:before="0" w:beforeAutospacing="0" w:after="0" w:afterAutospacing="0"/>
        <w:ind w:left="435"/>
        <w:rPr>
          <w:b/>
          <w:bCs/>
          <w:color w:val="000000" w:themeColor="text1"/>
          <w:sz w:val="28"/>
          <w:szCs w:val="28"/>
        </w:rPr>
      </w:pPr>
    </w:p>
    <w:p w:rsidR="00D871B0" w:rsidRDefault="00D871B0" w:rsidP="00D871B0">
      <w:pPr>
        <w:pStyle w:val="a3"/>
        <w:shd w:val="clear" w:color="auto" w:fill="FFFFFF"/>
        <w:spacing w:before="0" w:beforeAutospacing="0" w:after="0" w:afterAutospacing="0"/>
        <w:ind w:left="435"/>
        <w:rPr>
          <w:b/>
          <w:bCs/>
          <w:color w:val="000000" w:themeColor="text1"/>
          <w:sz w:val="28"/>
          <w:szCs w:val="28"/>
        </w:rPr>
      </w:pPr>
    </w:p>
    <w:p w:rsidR="00D871B0" w:rsidRDefault="00D871B0" w:rsidP="00D871B0">
      <w:pPr>
        <w:pStyle w:val="a3"/>
        <w:shd w:val="clear" w:color="auto" w:fill="FFFFFF"/>
        <w:spacing w:before="0" w:beforeAutospacing="0" w:after="0" w:afterAutospacing="0"/>
        <w:ind w:left="435"/>
        <w:rPr>
          <w:b/>
          <w:bCs/>
          <w:color w:val="000000" w:themeColor="text1"/>
          <w:sz w:val="28"/>
          <w:szCs w:val="28"/>
        </w:rPr>
      </w:pPr>
    </w:p>
    <w:p w:rsidR="00D871B0" w:rsidRDefault="00D871B0" w:rsidP="00D871B0">
      <w:pPr>
        <w:pStyle w:val="a3"/>
        <w:shd w:val="clear" w:color="auto" w:fill="FFFFFF"/>
        <w:spacing w:before="0" w:beforeAutospacing="0" w:after="0" w:afterAutospacing="0"/>
        <w:ind w:left="435"/>
        <w:rPr>
          <w:b/>
          <w:bCs/>
          <w:color w:val="000000" w:themeColor="text1"/>
          <w:sz w:val="28"/>
          <w:szCs w:val="28"/>
        </w:rPr>
      </w:pPr>
    </w:p>
    <w:p w:rsidR="00D871B0" w:rsidRDefault="00D871B0" w:rsidP="00D871B0">
      <w:pPr>
        <w:pStyle w:val="a3"/>
        <w:shd w:val="clear" w:color="auto" w:fill="FFFFFF"/>
        <w:spacing w:before="0" w:beforeAutospacing="0" w:after="0" w:afterAutospacing="0"/>
        <w:ind w:left="75"/>
        <w:jc w:val="center"/>
        <w:rPr>
          <w:b/>
          <w:bCs/>
          <w:color w:val="000000" w:themeColor="text1"/>
          <w:sz w:val="28"/>
          <w:szCs w:val="28"/>
        </w:rPr>
      </w:pPr>
    </w:p>
    <w:p w:rsidR="006C035E" w:rsidRPr="00A628C5" w:rsidRDefault="00D871B0" w:rsidP="00D871B0">
      <w:pPr>
        <w:pStyle w:val="a3"/>
        <w:shd w:val="clear" w:color="auto" w:fill="FFFFFF"/>
        <w:spacing w:before="0" w:beforeAutospacing="0" w:after="0" w:afterAutospacing="0"/>
        <w:ind w:left="435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 xml:space="preserve">                                        1. </w:t>
      </w:r>
      <w:r w:rsidR="006C035E">
        <w:rPr>
          <w:b/>
          <w:bCs/>
          <w:color w:val="000000" w:themeColor="text1"/>
          <w:sz w:val="28"/>
          <w:szCs w:val="28"/>
        </w:rPr>
        <w:t>Общие положения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1.1 Настоящее Положение о проведении промежуточной и итоговой аттестации лиц, проходящих спортивную подготовку муниципального бюджетного учреждения «Спортивная школа</w:t>
      </w:r>
      <w:r w:rsidR="003F1D0E">
        <w:rPr>
          <w:color w:val="000000" w:themeColor="text1"/>
          <w:sz w:val="28"/>
          <w:szCs w:val="28"/>
        </w:rPr>
        <w:t>»</w:t>
      </w:r>
      <w:r>
        <w:rPr>
          <w:color w:val="000000" w:themeColor="text1"/>
          <w:sz w:val="28"/>
          <w:szCs w:val="28"/>
        </w:rPr>
        <w:t xml:space="preserve">  (далее - Положение) разработано в соответствии с Уставом МБУ «СШ</w:t>
      </w:r>
      <w:r w:rsidR="003F1D0E">
        <w:rPr>
          <w:color w:val="000000" w:themeColor="text1"/>
          <w:sz w:val="28"/>
          <w:szCs w:val="28"/>
        </w:rPr>
        <w:t>»</w:t>
      </w:r>
      <w:r>
        <w:rPr>
          <w:color w:val="000000" w:themeColor="text1"/>
          <w:sz w:val="28"/>
          <w:szCs w:val="28"/>
        </w:rPr>
        <w:t xml:space="preserve">  и регламентирует формы, периодичность и порядок текущего контроля успеваемости, промежуточной и итоговой аттестации </w:t>
      </w:r>
      <w:r>
        <w:rPr>
          <w:bCs/>
          <w:color w:val="000000" w:themeColor="text1"/>
          <w:sz w:val="28"/>
          <w:szCs w:val="28"/>
        </w:rPr>
        <w:t>лиц, проходящих спортивную подготовку</w:t>
      </w:r>
      <w:r>
        <w:rPr>
          <w:color w:val="000000" w:themeColor="text1"/>
          <w:sz w:val="28"/>
          <w:szCs w:val="28"/>
        </w:rPr>
        <w:t>, осваивавших программу спортивной подготовки.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 1.3 Проведение промежуточной и итоговой аттестации </w:t>
      </w:r>
      <w:r>
        <w:rPr>
          <w:bCs/>
          <w:color w:val="000000" w:themeColor="text1"/>
          <w:sz w:val="28"/>
          <w:szCs w:val="28"/>
        </w:rPr>
        <w:t>лиц, проходящих спортивную подготовку</w:t>
      </w:r>
      <w:r>
        <w:rPr>
          <w:color w:val="000000" w:themeColor="text1"/>
          <w:sz w:val="28"/>
          <w:szCs w:val="28"/>
        </w:rPr>
        <w:t>, проводятся в целях определения уровня физической подготовленности спортсменов, перевода их в группы следующего года и/или этапа спортивной подготовки, оценки качества освоения программы спортивной подготовки.</w:t>
      </w:r>
    </w:p>
    <w:p w:rsidR="006C035E" w:rsidRDefault="006C035E" w:rsidP="006C035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1.3. Настоящее положение принимается тренерским советом школы, имеющим право вносить в него свои изменения и дополнения, и утверждается  приказом директора.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1.4. Положение распространяе</w:t>
      </w:r>
      <w:r w:rsidR="003F1D0E">
        <w:rPr>
          <w:color w:val="000000" w:themeColor="text1"/>
          <w:sz w:val="28"/>
          <w:szCs w:val="28"/>
        </w:rPr>
        <w:t>тся на всех спортсменов МБУ «СШ».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28"/>
          <w:szCs w:val="28"/>
        </w:rPr>
        <w:t>2. Организация проведения промежуточной и итоговой аттестации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2.1 Промежуточная аттестация - комплексы контрольных упражнений для оценки результатов освоения программы спортивной подготовки по итогам учебного года, проводится в декабре, мае.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2.2 Комплекс контрольных упражнений промежуточной аттестации предполагает сдачу контрольных нормативов физической подготовке и выполнение тестов на</w:t>
      </w:r>
      <w:r>
        <w:rPr>
          <w:rStyle w:val="apple-converted-space"/>
          <w:color w:val="000000" w:themeColor="text1"/>
          <w:sz w:val="28"/>
          <w:szCs w:val="28"/>
        </w:rPr>
        <w:t> </w:t>
      </w:r>
      <w:r>
        <w:rPr>
          <w:color w:val="000000" w:themeColor="text1"/>
          <w:sz w:val="28"/>
          <w:szCs w:val="28"/>
        </w:rPr>
        <w:t>знание теории и методики физической культуры и спорта в соответствии с требованиями и уровнем соответствующим уровню пройденного в предыдущий период практического и теоретического материала.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2.3 Промежуточная аттестация считается успешно </w:t>
      </w:r>
      <w:proofErr w:type="gramStart"/>
      <w:r>
        <w:rPr>
          <w:color w:val="000000" w:themeColor="text1"/>
          <w:sz w:val="28"/>
          <w:szCs w:val="28"/>
        </w:rPr>
        <w:t>пройденной</w:t>
      </w:r>
      <w:proofErr w:type="gramEnd"/>
      <w:r>
        <w:rPr>
          <w:color w:val="000000" w:themeColor="text1"/>
          <w:sz w:val="28"/>
          <w:szCs w:val="28"/>
        </w:rPr>
        <w:t xml:space="preserve"> в случае если спортсмен продемонстрировал достаточный уровень освоения практического материала - выполнил нормативы не менее чем на 80 % упражнений комплекса контрольных упражнений.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2.4. Итоговая аттестация лиц, проходящих спортивную подготовку, проводится по итогам освоения программы спортивной подготовки и включает в себя контрольно-переводные нормативы общей физической и специальной физической подготовки в соответствии с содержанием программы.</w:t>
      </w:r>
    </w:p>
    <w:p w:rsidR="006C035E" w:rsidRDefault="006C035E" w:rsidP="006C035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2.5. Спортсмены, выполнившие контрольно-переводные нормативы комплекса контрольных упражнений в объёме менее чем на 80%, не переводятся на следующий год обучения в группы более высокого уровня подготовки. </w:t>
      </w:r>
    </w:p>
    <w:p w:rsidR="006C035E" w:rsidRDefault="006C035E" w:rsidP="006C03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Таким спортсменам 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предоставляется  возможность продолжить  спортивную подготовку на том же этапе  спортивной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lastRenderedPageBreak/>
        <w:t>подготовки   решением тренерского совета учреждения, но не более одного раза на данном этапе.</w:t>
      </w:r>
    </w:p>
    <w:p w:rsidR="006C035E" w:rsidRDefault="006C035E" w:rsidP="006C035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 повторном невыполнении требований спортивной подготовки лицам, проходящим спортивную подготовку по виду спорта, может предоставляться возможность продолжить заниматься на том же этапе подготовки в порядке, предусмотренном локальным актом организации, за рамками муниципального  задания на основе  договоров оказания платных услуг по спортивной подготовке.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2.6. Итоговая аттестация лиц проходящих спортивную подготовку проводится </w:t>
      </w:r>
      <w:r w:rsidRPr="003F1D0E">
        <w:rPr>
          <w:color w:val="000000" w:themeColor="text1"/>
          <w:sz w:val="28"/>
          <w:szCs w:val="28"/>
        </w:rPr>
        <w:t>в апреле-мае  и  считается успешной, в случае если обучающийся продемонстрировал достаточный уровень освоения практического материала</w:t>
      </w:r>
      <w:r>
        <w:rPr>
          <w:color w:val="000000" w:themeColor="text1"/>
          <w:sz w:val="28"/>
          <w:szCs w:val="28"/>
        </w:rPr>
        <w:t xml:space="preserve"> - выполнил контрольно-переводные нормативы не менее чем на 80 %.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2.7. Для проведения промежуточной и итоговой аттестации создается комиссия в составе не менее трех человек. Состав комиссии избирается на тренерском совете и утверждается директором. Срок ее полномочий составляет один год. Комиссия готовит проект приказа и график сдачи контрольно-переводных нормативов.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2.8. Во время проведения промежуточной и итоговой аттестации спортсменов  присутствие посторонних лиц допускается только с разрешения директора МБУ «СШ».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2.9. Перевод </w:t>
      </w:r>
      <w:proofErr w:type="gramStart"/>
      <w:r>
        <w:rPr>
          <w:color w:val="000000" w:themeColor="text1"/>
          <w:sz w:val="28"/>
          <w:szCs w:val="28"/>
        </w:rPr>
        <w:t>лиц, проходящих спортивную подготовку в группу следующего года обучения и этапа спортивной подготовки производится</w:t>
      </w:r>
      <w:proofErr w:type="gramEnd"/>
      <w:r>
        <w:rPr>
          <w:color w:val="000000" w:themeColor="text1"/>
          <w:sz w:val="28"/>
          <w:szCs w:val="28"/>
        </w:rPr>
        <w:t xml:space="preserve"> на основании приказа директора с учетом  решения тренерского совета МБУ «СШ» при условии, что  спортсмен выполнил контрольно-переводные нормативы в объёме не менее чем на 80%.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При переводе спортсменов на следующий этап решающими факторами являются: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определяющий комплекс контрольно-переводных нормативов;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- положительная динамика прироста спортивных результатов (по итогам выступлений на официальных соревнованиях)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 xml:space="preserve">- заключение медицинской комиссии (врача). </w:t>
      </w:r>
    </w:p>
    <w:p w:rsidR="006C035E" w:rsidRDefault="006C035E" w:rsidP="006C035E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2.10. Досрочный перевод спортсмена в группу следующего этапа спортивной подготовки осуществляется в соответствии с Положение о формировании групп спортивной подготовки, переводе и отчислении лиц, проходящих спортивную подготовку в муниципальном бюджетно</w:t>
      </w:r>
      <w:r w:rsidR="003F1D0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 учреждении «Спортивная школа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2.11.  Результаты выполнения контрольно-переводных нормативов фиксируются в ведомости за подписью членов комиссии, лиц проводивших прием контрольно-переводных нормативов и тренера и  хранятся в учреждении.</w:t>
      </w:r>
    </w:p>
    <w:p w:rsidR="006C035E" w:rsidRDefault="006C035E" w:rsidP="006C035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2.12. Спортсмены, не сдавшие контрольно-переводные нормативы в текущем году в установленные сроки, могут пересдать контрольно-переводные нормативы перед началом нового тренировочного сезона, не позднее 20 августа.</w:t>
      </w:r>
    </w:p>
    <w:p w:rsidR="006C035E" w:rsidRDefault="006C035E" w:rsidP="006C035E">
      <w:pPr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71FDC" w:rsidRDefault="00371FDC"/>
    <w:sectPr w:rsidR="00371FDC" w:rsidSect="00A036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DB44D2"/>
    <w:multiLevelType w:val="hybridMultilevel"/>
    <w:tmpl w:val="350467FC"/>
    <w:lvl w:ilvl="0" w:tplc="EE6ADE78">
      <w:start w:val="1"/>
      <w:numFmt w:val="decimal"/>
      <w:lvlText w:val="%1."/>
      <w:lvlJc w:val="left"/>
      <w:pPr>
        <w:ind w:left="4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6C035E"/>
    <w:rsid w:val="000113D6"/>
    <w:rsid w:val="001060FB"/>
    <w:rsid w:val="002E506C"/>
    <w:rsid w:val="00371FDC"/>
    <w:rsid w:val="003F1D0E"/>
    <w:rsid w:val="006C035E"/>
    <w:rsid w:val="008275EF"/>
    <w:rsid w:val="00A0364E"/>
    <w:rsid w:val="00A628C5"/>
    <w:rsid w:val="00CE4B5D"/>
    <w:rsid w:val="00D871B0"/>
    <w:rsid w:val="00FF44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6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03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C035E"/>
  </w:style>
  <w:style w:type="paragraph" w:styleId="a4">
    <w:name w:val="Balloon Text"/>
    <w:basedOn w:val="a"/>
    <w:link w:val="a5"/>
    <w:uiPriority w:val="99"/>
    <w:semiHidden/>
    <w:unhideWhenUsed/>
    <w:rsid w:val="00D871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871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6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732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ДЮСШ</Company>
  <LinksUpToDate>false</LinksUpToDate>
  <CharactersWithSpaces>4902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111</cp:lastModifiedBy>
  <cp:revision>9</cp:revision>
  <cp:lastPrinted>2019-12-13T12:49:00Z</cp:lastPrinted>
  <dcterms:created xsi:type="dcterms:W3CDTF">2019-12-13T11:51:00Z</dcterms:created>
  <dcterms:modified xsi:type="dcterms:W3CDTF">2020-01-16T11:46:00Z</dcterms:modified>
</cp:coreProperties>
</file>